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Załącznik nr 4 do ogłoszenia o naborze nr 1/201</w:t>
      </w:r>
      <w:r>
        <w:rPr>
          <w:rFonts w:cs="Times New Roman" w:ascii="Times New Roman" w:hAnsi="Times New Roman"/>
          <w:b w:val="false"/>
          <w:bCs w:val="false"/>
          <w:color w:val="000000" w:themeColor="text1"/>
          <w:sz w:val="22"/>
          <w:szCs w:val="22"/>
        </w:rPr>
        <w:t>9</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2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2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2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28"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3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3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33" w:type="dxa"/>
          <w:bottom w:w="0" w:type="dxa"/>
          <w:right w:w="108" w:type="dxa"/>
        </w:tblCellMar>
        <w:tblLook w:firstRow="1" w:noVBand="1" w:lastRow="0" w:firstColumn="1" w:lastColumn="0" w:noHBand="0" w:val="04a0"/>
      </w:tblPr>
      <w:tblGrid>
        <w:gridCol w:w="2827"/>
        <w:gridCol w:w="3257"/>
        <w:gridCol w:w="2983"/>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7"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3"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7"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3"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7"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3"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28"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2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28066811"/>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5</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5</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5</Pages>
  <Words>2376</Words>
  <Characters>15318</Characters>
  <CharactersWithSpaces>17569</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2019-03-12T10:26:54Z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