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:rsidR="00FD5D70" w:rsidRPr="0079415D" w:rsidRDefault="00FD5D70" w:rsidP="001340F4">
      <w:pPr>
        <w:pStyle w:val="RozporzdzenieumowaZnak"/>
      </w:pPr>
    </w:p>
    <w:p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zawartawdniu.....................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zsiedzibąw..........................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zamieszkałym(-ą)</w:t>
      </w:r>
      <w:r w:rsidR="0007521B" w:rsidRPr="0079415D">
        <w:rPr>
          <w:rStyle w:val="Odwoanieprzypisudolnego"/>
        </w:rPr>
        <w:footnoteReference w:id="3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C14E50" w:rsidRPr="0079415D">
        <w:rPr>
          <w:rFonts w:ascii="Times New Roman" w:hAnsi="Times New Roman"/>
          <w:sz w:val="24"/>
          <w:szCs w:val="24"/>
        </w:rPr>
        <w:t>w…………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napodstawie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dokumentuupoważniającegodo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,któregokopię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4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Napodstawieart.34ust.1ustawyzdnia20lutego2015r.owspieraniurozwojuobszarówwiejskichzudziałemśrodkówEuropejskiegoFunduszuRolnegonarzeczRozwojuObszarówWiejskichwramachProgramuRozwojuObszarówWiejskichnalata2014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),Stronypostanawiają,conastępuje:</w:t>
      </w:r>
    </w:p>
    <w:p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</w:p>
    <w:p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Określeniaiskróty</w:t>
      </w:r>
    </w:p>
    <w:p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6F064D" w:rsidRPr="0079415D">
        <w:rPr>
          <w:sz w:val="24"/>
          <w:szCs w:val="24"/>
        </w:rPr>
        <w:t>oprzyznaniupomocy,zwanejdalej„umową”,oznaczają:</w:t>
      </w:r>
    </w:p>
    <w:p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52B4" w:rsidRPr="00E23F1A">
        <w:t xml:space="preserve">Centralną Ewidencję i Informację o Działalności Gospodarczej, o której mowa </w:t>
      </w:r>
      <w:r w:rsidR="005652B4" w:rsidRPr="00E23F1A">
        <w:lastRenderedPageBreak/>
        <w:t xml:space="preserve">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="00561AF7" w:rsidRPr="0079415D">
        <w:t>;</w:t>
      </w:r>
    </w:p>
    <w:p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wsposób pozwalający na osiągnięcie celów poddziałania określonych w </w:t>
      </w:r>
      <w:r w:rsidR="00A34AA4" w:rsidRPr="0079415D">
        <w:t>tym</w:t>
      </w:r>
      <w:r w:rsidR="00CF61E8" w:rsidRPr="0079415D">
        <w:t>Programie</w:t>
      </w:r>
      <w:r w:rsidR="006778C9" w:rsidRPr="0079415D">
        <w:t>;</w:t>
      </w:r>
    </w:p>
    <w:p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</w:p>
    <w:p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 xml:space="preserve"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iRozwoju Wsi z dnia 16 marca 2021 r. ozatwierdzeniu </w:t>
      </w:r>
      <w:r w:rsidR="00136AA5" w:rsidRPr="00136AA5">
        <w:lastRenderedPageBreak/>
        <w:t>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>Rozwoju Wsi z dnia 2 marca 2022 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5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02061B" w:rsidRPr="0079415D">
        <w:t>–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0" w:name="_Hlk100042083"/>
      <w:r w:rsidR="00951B93" w:rsidRPr="00951B93">
        <w:rPr>
          <w:bCs/>
        </w:rPr>
        <w:t>poz. 162 i 2105 oraz z 2022 r. poz. 24</w:t>
      </w:r>
      <w:bookmarkEnd w:id="0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/>
        </w:rPr>
        <w:t>dostępny publicznie środek komunikacji elektronicznej</w:t>
      </w:r>
      <w:r w:rsidR="006E524A" w:rsidRPr="006E524A">
        <w:t>,</w:t>
      </w:r>
      <w:r w:rsidR="006E524A" w:rsidRPr="006E524A">
        <w:rPr>
          <w:lang/>
        </w:rPr>
        <w:t xml:space="preserve"> w rozumieniu art. 3 pkt 17 us</w:t>
      </w:r>
      <w:r w:rsidR="006E524A">
        <w:rPr>
          <w:lang/>
        </w:rPr>
        <w:t>tawy z dnia 17 lutego 2005 r. o </w:t>
      </w:r>
      <w:r w:rsidR="006E524A" w:rsidRPr="006E524A">
        <w:rPr>
          <w:lang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/>
        </w:rPr>
        <w:t>), służący do przekazywania dokumentu elektroniczn</w:t>
      </w:r>
      <w:r w:rsidR="006E524A" w:rsidRPr="006E524A">
        <w:t>e</w:t>
      </w:r>
      <w:r w:rsidR="006E524A" w:rsidRPr="006E524A">
        <w:rPr>
          <w:lang/>
        </w:rPr>
        <w:t>go przy wykorzystaniu Elektronicznej Platformy Usług Administracji Publicznej, o której mowa w art.1 pkt 8 oraz art. 16 ust. 1 i1aww.ustawy</w:t>
      </w:r>
      <w:r w:rsidR="006E524A" w:rsidRPr="006E524A">
        <w:t>,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t>z dnia 18 listopada 2020 r.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§2</w:t>
      </w:r>
    </w:p>
    <w:p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lastRenderedPageBreak/>
        <w:t>Zakresprzedmiotowyumowy</w:t>
      </w:r>
    </w:p>
    <w:p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UmowaokreślaprawaiobowiązkiStronzwiązanezrealizacjąoperacji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wramachpoddziałania„Wsparcienawdrażanieoperacjiwramachstrategiirozwojulokalnegokierowanegoprzezspołeczność”</w:t>
      </w:r>
      <w:r w:rsidR="005A61C5" w:rsidRPr="0079415D">
        <w:rPr>
          <w:sz w:val="24"/>
          <w:szCs w:val="24"/>
        </w:rPr>
        <w:t>w ramach działania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§3</w:t>
      </w:r>
    </w:p>
    <w:p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Postanowieniaogólne</w:t>
      </w:r>
    </w:p>
    <w:p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Beneficjentzobowiązujesiędorealizacjioperacji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7945C5" w:rsidRPr="0079415D">
        <w:rPr>
          <w:sz w:val="24"/>
          <w:szCs w:val="24"/>
        </w:rPr>
        <w:t>w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stanowiącymzałącznik</w:t>
      </w:r>
      <w:r w:rsidR="000F6215" w:rsidRPr="0079415D">
        <w:rPr>
          <w:sz w:val="24"/>
          <w:szCs w:val="24"/>
        </w:rPr>
        <w:t>nr1</w:t>
      </w:r>
      <w:r w:rsidR="007945C5" w:rsidRPr="0079415D">
        <w:rPr>
          <w:sz w:val="24"/>
          <w:szCs w:val="24"/>
        </w:rPr>
        <w:t>doumowy</w:t>
      </w:r>
      <w:r w:rsidR="007A5104" w:rsidRPr="0079415D">
        <w:rPr>
          <w:sz w:val="24"/>
          <w:szCs w:val="24"/>
        </w:rPr>
        <w:t>.</w:t>
      </w:r>
    </w:p>
    <w:p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następującewskaźniki</w:t>
      </w:r>
      <w:r w:rsidR="00912CA6" w:rsidRPr="0079415D">
        <w:rPr>
          <w:rStyle w:val="Odwoanieprzypisudolnego"/>
        </w:rPr>
        <w:footnoteReference w:id="6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/>
      </w:tblPr>
      <w:tblGrid>
        <w:gridCol w:w="484"/>
        <w:gridCol w:w="1701"/>
        <w:gridCol w:w="2254"/>
        <w:gridCol w:w="2140"/>
        <w:gridCol w:w="2608"/>
      </w:tblGrid>
      <w:tr w:rsidR="00021DF3" w:rsidRPr="0079415D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7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A66E83" w:rsidRDefault="00A66E83" w:rsidP="00D156A1">
      <w:pPr>
        <w:spacing w:before="120" w:after="120"/>
        <w:rPr>
          <w:rFonts w:ascii="Times New Roman" w:hAnsi="Times New Roman"/>
        </w:rPr>
      </w:pPr>
    </w:p>
    <w:p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1634"/>
        <w:gridCol w:w="2268"/>
        <w:gridCol w:w="2194"/>
        <w:gridCol w:w="2551"/>
      </w:tblGrid>
      <w:tr w:rsidR="000344D7" w:rsidRPr="0079415D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Operacjazostaniezrealizowanaw: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województwo,powiat,gmina,kodpocztowy,miejscowość(-ści),ulica(-e),nrdomu,nrlokalu)</w:t>
      </w:r>
    </w:p>
    <w:p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8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30czerwca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Realizacjaoperacjiobejmuje:</w:t>
      </w:r>
    </w:p>
    <w:p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9"/>
      </w:r>
      <w:r w:rsidR="00E91765" w:rsidRPr="00E36FE8">
        <w:rPr>
          <w:sz w:val="24"/>
          <w:szCs w:val="24"/>
          <w:vertAlign w:val="superscript"/>
        </w:rPr>
        <w:t>)</w:t>
      </w:r>
    </w:p>
    <w:p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1"/>
      </w:r>
      <w:r w:rsidR="004A53CA" w:rsidRPr="00E36FE8">
        <w:rPr>
          <w:sz w:val="24"/>
          <w:szCs w:val="24"/>
          <w:vertAlign w:val="superscript"/>
        </w:rPr>
        <w:t>)</w:t>
      </w:r>
    </w:p>
    <w:p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§4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Środkifinansoweprzyznanenarealizacjęoperacji</w:t>
      </w:r>
    </w:p>
    <w:p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2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pierwsza transza</w:t>
      </w:r>
      <w:r w:rsidR="00F80A30" w:rsidRPr="0079415D">
        <w:rPr>
          <w:sz w:val="24"/>
          <w:szCs w:val="24"/>
        </w:rPr>
        <w:t>w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….zł(słowniezłotych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F80A30" w:rsidRPr="0079415D">
        <w:rPr>
          <w:sz w:val="24"/>
          <w:szCs w:val="24"/>
        </w:rPr>
        <w:t>w</w:t>
      </w:r>
      <w:r w:rsidR="00743C7D" w:rsidRPr="0079415D">
        <w:rPr>
          <w:sz w:val="24"/>
          <w:szCs w:val="24"/>
        </w:rPr>
        <w:t>wysokości</w:t>
      </w:r>
      <w:r w:rsidR="00F80A30" w:rsidRPr="0079415D">
        <w:rPr>
          <w:sz w:val="24"/>
          <w:szCs w:val="24"/>
        </w:rPr>
        <w:t>……….zł(słowniezłotych……………………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§5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ZobowiązaniaBeneficjenta</w:t>
      </w:r>
    </w:p>
    <w:p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="001E0B63" w:rsidRPr="001E0B63">
        <w:rPr>
          <w:sz w:val="24"/>
          <w:szCs w:val="24"/>
        </w:rPr>
        <w:t>miejsc(-a)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3"/>
      </w:r>
      <w:r w:rsidRPr="00924F3E">
        <w:rPr>
          <w:sz w:val="24"/>
          <w:szCs w:val="24"/>
          <w:vertAlign w:val="superscript"/>
        </w:rPr>
        <w:t>)</w:t>
      </w:r>
    </w:p>
    <w:p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</w:p>
    <w:p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</w:p>
    <w:p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</w:t>
      </w:r>
      <w:r w:rsidRPr="0079415D">
        <w:lastRenderedPageBreak/>
        <w:t xml:space="preserve">Ministra Rolnictwa i Rozwoju Wsi, Komisji Europejskiej, Europejskiego Trybunału Obrachunkowego, organów </w:t>
      </w:r>
      <w:r w:rsidR="0004593F">
        <w:t>KrajowejAdministracji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</w:p>
    <w:p w:rsidR="00EE416C" w:rsidRDefault="00CC3BF0" w:rsidP="00C32420">
      <w:pPr>
        <w:pStyle w:val="Rozporzdzenieumowa"/>
      </w:pPr>
      <w:r w:rsidRPr="0079415D">
        <w:t>obecności i uczestnictwa osobistego albo osoby upoważnionej przez Beneficjentaw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</w:p>
    <w:p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</w:p>
    <w:p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</w:p>
    <w:p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 xml:space="preserve">Zobowiązanie, o którym mowa w ust. 1 pkt 8 lit. b, w zakresie podlegania ubezpieczeniom uznaje się również za realizowane, jeżeli – w przypadku zbiegu tytułu do ubezpieczeń społecznych z powodu objęcia Beneficjenta obowiązkowymi ubezpieczeniami </w:t>
      </w:r>
      <w:r w:rsidRPr="00924F3E">
        <w:rPr>
          <w:rFonts w:eastAsia="Calibri"/>
          <w:sz w:val="24"/>
          <w:szCs w:val="24"/>
          <w:lang w:eastAsia="en-US"/>
        </w:rPr>
        <w:lastRenderedPageBreak/>
        <w:t>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4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płatność,Beneficjent składa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5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bookmarkEnd w:id="1"/>
      <w:r>
        <w:rPr>
          <w:rStyle w:val="Odwoanieprzypisudolnego"/>
        </w:rPr>
        <w:footnoteReference w:id="16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8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 xml:space="preserve">0czerwca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 xml:space="preserve">ywskazane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0czerwca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Pr="00096D79">
        <w:rPr>
          <w:sz w:val="24"/>
          <w:szCs w:val="24"/>
        </w:rPr>
        <w:t>stosuje się odpowiednio.</w:t>
      </w:r>
    </w:p>
    <w:p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</w:p>
    <w:p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</w:t>
      </w:r>
      <w:r w:rsidRPr="00004525">
        <w:rPr>
          <w:sz w:val="24"/>
          <w:szCs w:val="24"/>
        </w:rPr>
        <w:lastRenderedPageBreak/>
        <w:t xml:space="preserve">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</w:p>
    <w:p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ichusunięcia,</w:t>
      </w:r>
      <w:r w:rsidRPr="0079415D">
        <w:rPr>
          <w:sz w:val="24"/>
          <w:szCs w:val="24"/>
        </w:rPr>
        <w:t>w terminie 14 dni od dnia doręczenia wezwania.</w:t>
      </w:r>
    </w:p>
    <w:p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 w:rsidR="001E52B8" w:rsidRPr="001E52B8">
        <w:rPr>
          <w:bCs/>
          <w:sz w:val="24"/>
          <w:szCs w:val="24"/>
        </w:rPr>
        <w:t>innej formie,o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</w:p>
    <w:p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5521D0" w:rsidRPr="0079415D">
        <w:rPr>
          <w:sz w:val="24"/>
          <w:szCs w:val="24"/>
        </w:rPr>
        <w:t>odmowie jej wypłaty.</w:t>
      </w:r>
    </w:p>
    <w:p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30 dni od dnia złożenia wniosku o płatność pierwszej transzy pomocy;</w:t>
      </w:r>
    </w:p>
    <w:p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</w:p>
    <w:p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0czerwca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 xml:space="preserve">ewództwa </w:t>
      </w:r>
      <w:r w:rsidR="005125AF" w:rsidRPr="0079415D">
        <w:rPr>
          <w:sz w:val="24"/>
          <w:szCs w:val="24"/>
        </w:rPr>
        <w:lastRenderedPageBreak/>
        <w:t>odmawia wypłaty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D52961" w:rsidRPr="0079415D">
        <w:t>§ 5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</w:t>
      </w:r>
      <w:r w:rsidR="00C97CF4" w:rsidRPr="0079415D">
        <w:rPr>
          <w:sz w:val="24"/>
          <w:szCs w:val="24"/>
        </w:rPr>
        <w:lastRenderedPageBreak/>
        <w:t>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9"/>
      </w:r>
      <w:r w:rsidR="002B2677" w:rsidRPr="0079415D">
        <w:rPr>
          <w:sz w:val="24"/>
          <w:szCs w:val="24"/>
          <w:vertAlign w:val="superscript"/>
        </w:rPr>
        <w:t>)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OświadczeniaBeneficjenta</w:t>
      </w:r>
    </w:p>
    <w:p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Beneficjentoświadcza,że:</w:t>
      </w:r>
    </w:p>
    <w:p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zobowiązuje siędo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</w:p>
    <w:p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Pr="0079415D">
        <w:rPr>
          <w:sz w:val="24"/>
          <w:szCs w:val="24"/>
        </w:rPr>
        <w:t>następuje w przypadku:</w:t>
      </w:r>
    </w:p>
    <w:p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20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publicznych,na podstawie prawomocnego orzeczenia sądu po zawarciu umowy;</w:t>
      </w:r>
    </w:p>
    <w:p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Zwrotwypłaconejpomocy</w:t>
      </w:r>
    </w:p>
    <w:p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1"/>
      </w:r>
      <w:r w:rsidR="00B129EB" w:rsidRPr="0079415D">
        <w:rPr>
          <w:sz w:val="24"/>
          <w:szCs w:val="24"/>
          <w:vertAlign w:val="superscript"/>
        </w:rPr>
        <w:t>)</w:t>
      </w:r>
    </w:p>
    <w:p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F55DE" w:rsidRPr="0079415D">
        <w:rPr>
          <w:sz w:val="24"/>
          <w:szCs w:val="24"/>
        </w:rPr>
        <w:t>okoliczności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1F12FA" w:rsidRPr="008F3DCD">
        <w:rPr>
          <w:sz w:val="24"/>
          <w:szCs w:val="24"/>
        </w:rPr>
        <w:t>,</w:t>
      </w:r>
    </w:p>
    <w:p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5537BB" w:rsidRPr="00676501">
        <w:rPr>
          <w:sz w:val="24"/>
          <w:szCs w:val="24"/>
        </w:rPr>
        <w:t xml:space="preserve">od dnia wypłatyprzez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 xml:space="preserve">przeprowadzenia </w:t>
      </w:r>
      <w:r w:rsidR="00EE701D" w:rsidRPr="0079415D">
        <w:rPr>
          <w:rFonts w:eastAsia="Calibri"/>
          <w:sz w:val="24"/>
          <w:szCs w:val="24"/>
        </w:rPr>
        <w:lastRenderedPageBreak/>
        <w:t>ewaluacji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9F70D2" w:rsidRPr="0079415D">
        <w:rPr>
          <w:rFonts w:eastAsia="Calibri"/>
          <w:sz w:val="24"/>
          <w:szCs w:val="24"/>
        </w:rPr>
        <w:t>od dnia wypłaty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Beneficjentzwracanienależnielubnadmierniepobranąkwotępomocypowiększonąo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Odsetkinaliczanesąwwysokościjakdlazaległościpodatkowych,zaokresmiędzyterminemzwrotuśrodkówprzezBeneficjentawyznaczonymwpiśmiepowiadamiającymo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koniecznościzwrotu,adatązwrotu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lubodliczenia.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Beneficjentzobowiązujesięzwrócić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wterminie60dnioddniadoręczeniapismapowiadamiającegookoniecznościzwrotuśrodków,apoupływietegoterminu–dozwrotucałościlubczęściotrzymanejpomocywrazznależnymiodsetkami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Zmianaumowy</w:t>
      </w:r>
    </w:p>
    <w:p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ZłożonyprzezBeneficjenta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wniosekozmianęumowy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będziepodlegałrozpatrzeniu,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wrazz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zostaniezłożona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opiniaorganudecyzyjnegoLGD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,żewnioskowanaprzezBeneficjentazmianajestzgodnazLSRorazkryteriamiwyboruoperacjistosowanymiprzywyborze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tejoperacjidofinansowania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>
        <w:t xml:space="preserve">przedsiębiorstwa </w:t>
      </w:r>
      <w:r w:rsidR="00EF223F">
        <w:t>albo</w:t>
      </w:r>
    </w:p>
    <w:p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:rsidR="00FD459A" w:rsidRPr="0079415D" w:rsidRDefault="00856C1C" w:rsidP="001340F4">
      <w:pPr>
        <w:pStyle w:val="Umowa"/>
      </w:pPr>
      <w:r>
        <w:lastRenderedPageBreak/>
        <w:t>4.</w:t>
      </w:r>
      <w:r>
        <w:tab/>
      </w:r>
      <w:r w:rsidR="00341601" w:rsidRPr="0079415D">
        <w:t>ZarządWo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FD459A" w:rsidRPr="0079415D">
        <w:t>jeżeli:</w:t>
      </w:r>
    </w:p>
    <w:p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E56D50" w:rsidRPr="0079415D">
        <w:t xml:space="preserve">nr </w:t>
      </w:r>
      <w:r w:rsidRPr="0079415D">
        <w:t>1305/2013, ustawy, rozporządzenia ipostanowieniom umowy</w:t>
      </w:r>
      <w:r w:rsidR="00352FAE" w:rsidRPr="0079415D">
        <w:t>.</w:t>
      </w:r>
    </w:p>
    <w:p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4405F1" w:rsidRPr="0079415D">
        <w:t>Województwa</w:t>
      </w:r>
      <w:r w:rsidR="00FD459A" w:rsidRPr="0079415D">
        <w:t xml:space="preserve"> terminie, złożyć w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warunkówuprawniających do dokonania zmian, a</w:t>
      </w:r>
      <w:r w:rsidR="00EF223F">
        <w:t> </w:t>
      </w:r>
      <w:r w:rsidR="00FD459A" w:rsidRPr="0079415D">
        <w:t>w szczególności:</w:t>
      </w:r>
    </w:p>
    <w:p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Siławyższainadzwyczajneokoliczności</w:t>
      </w:r>
    </w:p>
    <w:p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Wprzypadkuniewykonaniaconajmniejjednegozezobowiązań,októrychmowaw§5</w:t>
      </w:r>
      <w:r w:rsidR="00DD7D2D" w:rsidRPr="0079415D">
        <w:rPr>
          <w:sz w:val="24"/>
          <w:szCs w:val="24"/>
        </w:rPr>
        <w:t>,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,zpowoduzaistnieniaokolicznościocharakterzesiływyższejlubnadzwyczajnychokoliczności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2"/>
      </w:r>
      <w:r w:rsidR="0046497C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>Beneficjentmożezostaćcałkowicielubczęściowozwolnionyprzez</w:t>
      </w:r>
      <w:r w:rsidR="005F79CC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>Województwaz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wykonaniategozobowiązanialubzazgodą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Pr="0079415D">
        <w:rPr>
          <w:sz w:val="24"/>
          <w:szCs w:val="24"/>
        </w:rPr>
        <w:t>terminjegowykonania.</w:t>
      </w:r>
    </w:p>
    <w:p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 xml:space="preserve">arszałkowskim wniosek, zawierający opis sprawy wraz z uzasadnieniem oraz niezbędnymi dokumentami, w terminie 15 dni roboczych od dnia, w którym Beneficjent </w:t>
      </w:r>
      <w:r w:rsidRPr="0079415D">
        <w:rPr>
          <w:sz w:val="24"/>
          <w:szCs w:val="24"/>
        </w:rPr>
        <w:lastRenderedPageBreak/>
        <w:t>lub upoważniona przez niego osoba są w stanie dokonać czynności złożenia takiego wniosku.</w:t>
      </w:r>
    </w:p>
    <w:p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Zabezpieczeniewykonaniaumowy</w:t>
      </w:r>
    </w:p>
    <w:p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ostanowieniawzakresiekorespondencji</w:t>
      </w:r>
    </w:p>
    <w:p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Korespondencjazwiązanazrealizacjąumowyprzekazywanabędzie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Stronyzobowiązująsiędopo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Beneficjentjestzobowiązanydoniezwłocznego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ozmianieswoichdanych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zawartychwumowie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Zmianataniewymaga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zmianyumowy.</w:t>
      </w:r>
    </w:p>
    <w:p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Wprzypadku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ozmianie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wszelkąkorespondencjęwysyłanąprzez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WojewództwazgodniezposiadanymidanymiStronyuznajązadoręczoną.</w:t>
      </w:r>
    </w:p>
    <w:p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w formie dokumentu elektronicznego do dnia zaistnienia obowiązku stosowania ustawy o doręczeniach elektronicznych w zakresie doręczenia korespondencji 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</w:p>
    <w:p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3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Aktyprawnemającezastosowanie</w:t>
      </w:r>
    </w:p>
    <w:p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Wsprawachnieuregulowanychumowąmają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z20.12.2013, str. 320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imonitorowania jej oraz uchylającego rozporządzenia Rady (EWG) nr 352/78, (WE) nr 165/94, (WE) nr 2799/98, (WE) nr 814/2000, (WE) nr 1290/2005 i (WE) nr 485/2008 (Dz. Urz. UE L 347 z 20.12.2013, str. 549, z późn. zm.);</w:t>
      </w:r>
    </w:p>
    <w:p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711C98" w:rsidRPr="0079415D">
        <w:rPr>
          <w:sz w:val="24"/>
          <w:szCs w:val="24"/>
        </w:rPr>
        <w:lastRenderedPageBreak/>
        <w:t>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,Dz. Urz. L 74 z 04.03.2021 str.35</w:t>
      </w:r>
      <w:r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ustawyzdnia23kwietnia1964r.-Kodekscywilny(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 xml:space="preserve">20 lutego 2015r. o wspieraniu rozwoju obszarów wiejskich zudziałem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</w:t>
      </w:r>
      <w:r w:rsidR="000F2522" w:rsidRPr="0079415D">
        <w:rPr>
          <w:sz w:val="24"/>
          <w:szCs w:val="24"/>
        </w:rPr>
        <w:lastRenderedPageBreak/>
        <w:t>trwale związana z nieruchomością</w:t>
      </w:r>
      <w:r w:rsidR="002E4E3E">
        <w:rPr>
          <w:sz w:val="24"/>
          <w:szCs w:val="24"/>
        </w:rPr>
        <w:t>;</w:t>
      </w:r>
    </w:p>
    <w:p w:rsidR="00741243" w:rsidRDefault="006B0FDF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 w:rsidRPr="0079415D">
        <w:rPr>
          <w:sz w:val="24"/>
          <w:szCs w:val="24"/>
        </w:rPr>
        <w:t>–</w:t>
      </w:r>
      <w:r w:rsidR="002E4E3E">
        <w:rPr>
          <w:sz w:val="24"/>
          <w:szCs w:val="24"/>
        </w:rPr>
        <w:t>Informacja monitorująca z realizacji biznesplanu/Informacja po realizacji operacji</w:t>
      </w:r>
      <w:r w:rsidR="00031C2B">
        <w:rPr>
          <w:sz w:val="24"/>
          <w:szCs w:val="24"/>
        </w:rPr>
        <w:t>;</w:t>
      </w:r>
    </w:p>
    <w:p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 xml:space="preserve">Oświadczenie o niepozostawaniu w związku małżeńskim/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Umowazostałasporządzonaw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jednobrzmiącychegzemplarzach,zktórychjed</w:t>
      </w:r>
      <w:r w:rsidR="00F045C4" w:rsidRPr="0079415D">
        <w:rPr>
          <w:sz w:val="24"/>
          <w:szCs w:val="24"/>
        </w:rPr>
        <w:t>en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/>
      </w:tblPr>
      <w:tblGrid>
        <w:gridCol w:w="5070"/>
        <w:gridCol w:w="4002"/>
      </w:tblGrid>
      <w:tr w:rsidR="006C2351" w:rsidRPr="0079415D" w:rsidTr="00F83999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:rsidTr="00F83999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A7" w:rsidRDefault="00207BA7" w:rsidP="00C90220">
      <w:r>
        <w:separator/>
      </w:r>
    </w:p>
    <w:p w:rsidR="00207BA7" w:rsidRDefault="00207BA7"/>
    <w:p w:rsidR="00207BA7" w:rsidRDefault="00207BA7"/>
  </w:endnote>
  <w:endnote w:type="continuationSeparator" w:id="1">
    <w:p w:rsidR="00207BA7" w:rsidRDefault="00207BA7" w:rsidP="00C90220">
      <w:r>
        <w:continuationSeparator/>
      </w:r>
    </w:p>
    <w:p w:rsidR="00207BA7" w:rsidRDefault="00207BA7"/>
    <w:p w:rsidR="00207BA7" w:rsidRDefault="00207BA7"/>
  </w:endnote>
  <w:endnote w:type="continuationNotice" w:id="2">
    <w:p w:rsidR="00207BA7" w:rsidRDefault="00207BA7"/>
    <w:p w:rsidR="00207BA7" w:rsidRDefault="00207BA7"/>
    <w:p w:rsidR="00207BA7" w:rsidRDefault="00207B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7" w:rsidRDefault="00AF0FD7">
    <w:pPr>
      <w:pStyle w:val="Stopka"/>
    </w:pPr>
  </w:p>
  <w:p w:rsidR="00AF0FD7" w:rsidRDefault="00AF0FD7"/>
  <w:p w:rsidR="00AF0FD7" w:rsidRDefault="00AF0F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="00D21D8F"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="00D21D8F" w:rsidRPr="00615509">
      <w:rPr>
        <w:rFonts w:ascii="Cambria" w:hAnsi="Cambria"/>
        <w:b/>
      </w:rPr>
      <w:fldChar w:fldCharType="separate"/>
    </w:r>
    <w:r w:rsidR="004B60CC">
      <w:rPr>
        <w:rFonts w:ascii="Cambria" w:hAnsi="Cambria"/>
        <w:b/>
        <w:noProof/>
      </w:rPr>
      <w:t>24</w:t>
    </w:r>
    <w:r w:rsidR="00D21D8F"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4B60CC" w:rsidRPr="004B60CC">
        <w:rPr>
          <w:rFonts w:ascii="Cambria" w:hAnsi="Cambria"/>
          <w:b/>
          <w:noProof/>
        </w:rPr>
        <w:t>24</w:t>
      </w:r>
    </w:fldSimple>
  </w:p>
  <w:p w:rsidR="00AF0FD7" w:rsidRDefault="00AF0FD7" w:rsidP="00C612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A7" w:rsidRDefault="00207BA7" w:rsidP="00C90220">
      <w:r>
        <w:separator/>
      </w:r>
    </w:p>
    <w:p w:rsidR="00207BA7" w:rsidRDefault="00207BA7"/>
    <w:p w:rsidR="00207BA7" w:rsidRDefault="00207BA7"/>
  </w:footnote>
  <w:footnote w:type="continuationSeparator" w:id="1">
    <w:p w:rsidR="00207BA7" w:rsidRDefault="00207BA7" w:rsidP="00C90220">
      <w:r>
        <w:continuationSeparator/>
      </w:r>
    </w:p>
    <w:p w:rsidR="00207BA7" w:rsidRDefault="00207BA7"/>
    <w:p w:rsidR="00207BA7" w:rsidRDefault="00207BA7"/>
  </w:footnote>
  <w:footnote w:type="continuationNotice" w:id="2">
    <w:p w:rsidR="00207BA7" w:rsidRDefault="00207BA7"/>
    <w:p w:rsidR="00207BA7" w:rsidRDefault="00207BA7"/>
    <w:p w:rsidR="00207BA7" w:rsidRDefault="00207BA7"/>
  </w:footnote>
  <w:footnote w:id="3">
    <w:p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 xml:space="preserve">Niepotrzebne skreślić. </w:t>
      </w:r>
    </w:p>
  </w:footnote>
  <w:footnote w:id="4">
    <w:p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5">
    <w:p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6">
    <w:p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7">
    <w:p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8">
    <w:p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9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10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1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2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Zgodnie z § 16 rozporządzenia.</w:t>
      </w:r>
    </w:p>
  </w:footnote>
  <w:footnote w:id="13">
    <w:p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4">
    <w:p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 w:rsidRPr="006E46CF">
        <w:rPr>
          <w:vertAlign w:val="baseline"/>
        </w:rPr>
        <w:t>Jeżeli dotyczy.</w:t>
      </w:r>
    </w:p>
  </w:footnote>
  <w:footnote w:id="15">
    <w:p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6">
    <w:p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7">
    <w:p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8">
    <w:p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9">
    <w:p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Art. 35 ust. 5 i 6 rozporządzenia nr 640/2014.</w:t>
      </w:r>
    </w:p>
  </w:footnote>
  <w:footnote w:id="20">
    <w:p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1">
    <w:p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Zgodnie z przepisami ustawy.</w:t>
      </w:r>
    </w:p>
  </w:footnote>
  <w:footnote w:id="22">
    <w:p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3">
    <w:p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7" w:rsidRDefault="00AF0FD7">
    <w:pPr>
      <w:pStyle w:val="Nagwek"/>
    </w:pPr>
  </w:p>
  <w:p w:rsidR="00AF0FD7" w:rsidRDefault="00AF0FD7"/>
  <w:p w:rsidR="00AF0FD7" w:rsidRDefault="00AF0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07BA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0CC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1D8F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Plan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PlandokumentuZnak1">
    <w:name w:val="Plan dokumentu Znak1"/>
    <w:link w:val="Plan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F8C58B-68A4-4129-B605-3D5E98791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46CB28-AC02-4C48-8B62-BFAC8408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9281</Words>
  <Characters>55692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64844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2</cp:revision>
  <cp:lastPrinted>2022-06-15T11:36:00Z</cp:lastPrinted>
  <dcterms:created xsi:type="dcterms:W3CDTF">2023-03-13T08:42:00Z</dcterms:created>
  <dcterms:modified xsi:type="dcterms:W3CDTF">2023-03-13T08:42:00Z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