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ogłoszenia o naborze nr 15/2017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ągnięcia w wyniku naboru cele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łowe, przedsięwzięcia</w:t>
        <w:br/>
        <w:t xml:space="preserve"> oraz zakładane do osiągnięcia wskaźniki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  <w:br/>
      </w:r>
    </w:p>
    <w:tbl>
      <w:tblPr/>
      <w:tblGrid>
        <w:gridCol w:w="566"/>
        <w:gridCol w:w="3257"/>
        <w:gridCol w:w="850"/>
        <w:gridCol w:w="1276"/>
        <w:gridCol w:w="1738"/>
        <w:gridCol w:w="1244"/>
        <w:gridCol w:w="1417"/>
      </w:tblGrid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ogólny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ogólny 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Stworzenie warunków dla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ększenia integracji i aktywności lokalnej społeczności.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(e) szczegó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łowe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łowy  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Rozwijanie inicjatyw edukacyjnych ukierunkowanych na wzrost aktywności społecznej i zawodowej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LGD.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ęwzięcia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ęwzięcie 3.1.2.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Wykorzystanie i promowanie innowacyjnych rozwiązań ułatwiających dostęp do wysokiej jakości działań edukacyjnych.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źniki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 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źnika ujętego LSR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wskaźnika z LSR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z LSR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realizacja naboru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wskaźnika</w:t>
              <w:br/>
              <w:t xml:space="preserve"> z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LSR pozostaj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ąca do realizacji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inicjatyw edukacyjnych o charakterze innowacyjnym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