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Calibri" w:hAnsi="Calibri" w:cs="Calibri" w:eastAsia="Calibri"/>
          <w:b/>
          <w:i/>
          <w:color w:val="00000A"/>
          <w:spacing w:val="0"/>
          <w:position w:val="0"/>
          <w:sz w:val="22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Za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łącznik nr 1 do ogłoszenia o naborze nr 11/2017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Planowane do osi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ągnięcia w wyniku naboru cele og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ólne, szczegó</w:t>
      </w: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2"/>
          <w:shd w:fill="auto" w:val="clear"/>
        </w:rPr>
        <w:t xml:space="preserve">łowe, przedsięwzięcia</w:t>
        <w:br/>
        <w:t xml:space="preserve"> oraz zakładane do osiągnięcia wskaźniki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  <w:t xml:space="preserve">.</w:t>
      </w:r>
    </w:p>
    <w:tbl>
      <w:tblPr/>
      <w:tblGrid>
        <w:gridCol w:w="566"/>
        <w:gridCol w:w="3323"/>
        <w:gridCol w:w="847"/>
        <w:gridCol w:w="1295"/>
        <w:gridCol w:w="1666"/>
        <w:gridCol w:w="1239"/>
        <w:gridCol w:w="1412"/>
      </w:tblGrid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ogólny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ogólny I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2"/>
                <w:shd w:fill="auto" w:val="clear"/>
              </w:rPr>
              <w:t xml:space="preserve">: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Poprawa jako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ści życia mieszkańc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ów obszaru LGD C. K. Podkarpacie w oparciu o efektywne wykorzystanie lokalnych walorów przyrodniczych i kulturowych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(e)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łowe LSR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Cel szczegó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łowy  1.3</w:t>
            </w:r>
            <w:r>
              <w:rPr>
                <w:rFonts w:ascii="Times New Roman" w:hAnsi="Times New Roman" w:cs="Times New Roman" w:eastAsia="Times New Roman"/>
                <w:color w:val="FF0000"/>
                <w:spacing w:val="0"/>
                <w:position w:val="0"/>
                <w:sz w:val="22"/>
                <w:shd w:fill="auto" w:val="clear"/>
              </w:rPr>
              <w:t xml:space="preserve">. 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Rozw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ój i promocja produktów lokalnych, atrakcji i us</w:t>
            </w:r>
            <w:r>
              <w:rPr>
                <w:rFonts w:ascii="Times New Roman" w:hAnsi="Times New Roman" w:cs="Times New Roman" w:eastAsia="Times New Roman"/>
                <w:color w:val="000000"/>
                <w:spacing w:val="0"/>
                <w:position w:val="0"/>
                <w:sz w:val="22"/>
                <w:shd w:fill="auto" w:val="clear"/>
              </w:rPr>
              <w:t xml:space="preserve">ług turystycznych.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c2d69b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ęwzięcia</w:t>
            </w: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Przedsi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ęwzięcie 1.3.2. 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Organizacja bezpłatnych przedsięwzięć integracyjnych i promocyjnych związanych z propagowaniem lokalnych tradycji, zasob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ów i produktów w tym twórczo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ści lokalnej i rzemiosła.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0348" w:type="dxa"/>
            <w:gridSpan w:val="7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źniki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Lp. </w:t>
            </w:r>
          </w:p>
        </w:tc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Nazwa wska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źnika ujętego LSR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Jedn. miary</w:t>
            </w:r>
          </w:p>
        </w:tc>
        <w:tc>
          <w:tcPr>
            <w:tcW w:w="1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z LSR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zrealizowanych wskaźnik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ów z LSR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planowana do osiągnięcia w związku z realizacja naboru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Warto</w:t>
            </w:r>
            <w:r>
              <w:rPr>
                <w:rFonts w:ascii="Times New Roman" w:hAnsi="Times New Roman" w:cs="Times New Roman" w:eastAsia="Times New Roman"/>
                <w:b/>
                <w:color w:val="00000A"/>
                <w:spacing w:val="0"/>
                <w:position w:val="0"/>
                <w:sz w:val="22"/>
                <w:shd w:fill="auto" w:val="clear"/>
              </w:rPr>
              <w:t xml:space="preserve">ść wskaźnika z LSR pozostająca do realizacji</w:t>
            </w:r>
          </w:p>
        </w:tc>
      </w:tr>
      <w:tr>
        <w:trPr>
          <w:trHeight w:val="1" w:hRule="atLeast"/>
          <w:jc w:val="left"/>
        </w:trPr>
        <w:tc>
          <w:tcPr>
            <w:tcW w:w="5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1.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32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Liczba uczestników wydarze</w:t>
            </w: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ń</w:t>
            </w:r>
          </w:p>
        </w:tc>
        <w:tc>
          <w:tcPr>
            <w:tcW w:w="8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osób</w:t>
            </w:r>
          </w:p>
        </w:tc>
        <w:tc>
          <w:tcPr>
            <w:tcW w:w="129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3600</w:t>
            </w:r>
          </w:p>
        </w:tc>
        <w:tc>
          <w:tcPr>
            <w:tcW w:w="166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0</w:t>
            </w:r>
          </w:p>
        </w:tc>
        <w:tc>
          <w:tcPr>
            <w:tcW w:w="123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720</w:t>
            </w:r>
          </w:p>
        </w:tc>
        <w:tc>
          <w:tcPr>
            <w:tcW w:w="141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auto" w:fill="auto" w:val="clear"/>
            <w:tcMar>
              <w:left w:w="51" w:type="dxa"/>
              <w:right w:w="51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00000A"/>
                <w:spacing w:val="0"/>
                <w:position w:val="0"/>
                <w:sz w:val="22"/>
                <w:shd w:fill="auto" w:val="clear"/>
              </w:rPr>
              <w:t xml:space="preserve">3600</w:t>
            </w:r>
          </w:p>
        </w:tc>
      </w:tr>
    </w:tbl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right"/>
        <w:rPr>
          <w:rFonts w:ascii="Times New Roman" w:hAnsi="Times New Roman" w:cs="Times New Roman" w:eastAsia="Times New Roman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