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EE" w:rsidRPr="00A757EE" w:rsidRDefault="00A757EE" w:rsidP="00A75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FORMUŁOWANIE KRYTERIÓW WYBORU</w:t>
      </w:r>
    </w:p>
    <w:p w:rsidR="00A757EE" w:rsidRPr="00A757EE" w:rsidRDefault="00A757EE" w:rsidP="00A757EE">
      <w:pPr>
        <w:ind w:firstLine="360"/>
        <w:jc w:val="both"/>
        <w:rPr>
          <w:rFonts w:ascii="Times New Roman" w:hAnsi="Times New Roman" w:cs="Times New Roman"/>
        </w:rPr>
      </w:pPr>
    </w:p>
    <w:p w:rsidR="00A757EE" w:rsidRPr="00A757EE" w:rsidRDefault="00A757EE" w:rsidP="00A757EE">
      <w:pPr>
        <w:ind w:firstLine="360"/>
        <w:jc w:val="both"/>
        <w:rPr>
          <w:rFonts w:ascii="Times New Roman" w:hAnsi="Times New Roman" w:cs="Times New Roman"/>
        </w:rPr>
      </w:pPr>
      <w:r w:rsidRPr="00A757EE">
        <w:rPr>
          <w:rFonts w:ascii="Times New Roman" w:hAnsi="Times New Roman" w:cs="Times New Roman"/>
        </w:rPr>
        <w:t>Kryteria wyboru operacji wynikają z przeprowadzonej analizy SWOT i są do niej adekwatne. Ustalając lokalne kryteria wyboru zakładaliśmy ich jasność, mierzalność i wpływ na realizację celów LSR. Minimum punktowe dla operacji, które należy osiągnąć aby operacja mogła uzyskać dofinansowanie: 30% z maksymalnej liczby punktów, które można zdobyć w ramach oceny.</w:t>
      </w:r>
      <w:r w:rsidRPr="00A757EE">
        <w:rPr>
          <w:rFonts w:ascii="Times New Roman" w:hAnsi="Times New Roman" w:cs="Times New Roman"/>
        </w:rPr>
        <w:br/>
      </w:r>
      <w:r w:rsidRPr="00A757EE">
        <w:rPr>
          <w:rFonts w:ascii="Times New Roman" w:hAnsi="Times New Roman" w:cs="Times New Roman"/>
        </w:rPr>
        <w:tab/>
        <w:t>Ocena innowacyjności jest zasadniczo oceną subiektywną członków organu decyzyjnego, różne osoby mogą mieć różną ocenę tego czy dana operacja jest nową na danym obszarze w zależności od stopnia zastosowanych nowych rozwiązań. W celu zachowania przejrzystości i transparentności oceny operacji podejście do oceny innowacyjności, pojęcie to powinno być powszechnie znane potencjalnym beneficjentom.</w:t>
      </w:r>
      <w:r w:rsidRPr="00A757EE">
        <w:rPr>
          <w:rFonts w:ascii="Times New Roman" w:hAnsi="Times New Roman" w:cs="Times New Roman"/>
        </w:rPr>
        <w:tab/>
        <w:t>Definicja innowacyjności w LSR związana jest z  wprowadzeniem w projekcie czegoś nowatorskiego związanego z reformą, ulepszaniem w skali regionu Podkarpacie. Może ona dotyczyć wszelkich działań  i sfer oddziaływań w różnych kierunkach. Innowacyjne są więc wszystkie ulepszenia maszyn i urządzeń, reformy systemów jak i tworzenie z</w:t>
      </w:r>
      <w:r w:rsidR="00DD227A">
        <w:rPr>
          <w:rFonts w:ascii="Times New Roman" w:hAnsi="Times New Roman" w:cs="Times New Roman"/>
        </w:rPr>
        <w:t xml:space="preserve">upełnie nowych rzeczy, zjawisk </w:t>
      </w:r>
      <w:r w:rsidRPr="00A757EE">
        <w:rPr>
          <w:rFonts w:ascii="Times New Roman" w:hAnsi="Times New Roman" w:cs="Times New Roman"/>
        </w:rPr>
        <w:t>lub wartości np. współpraca międzysekt</w:t>
      </w:r>
      <w:r w:rsidR="00DD227A">
        <w:rPr>
          <w:rFonts w:ascii="Times New Roman" w:hAnsi="Times New Roman" w:cs="Times New Roman"/>
        </w:rPr>
        <w:t xml:space="preserve">orowa. Innowacje dotyczyć mogą </w:t>
      </w:r>
      <w:r w:rsidRPr="00A757EE">
        <w:rPr>
          <w:rFonts w:ascii="Times New Roman" w:hAnsi="Times New Roman" w:cs="Times New Roman"/>
        </w:rPr>
        <w:t xml:space="preserve">zarówno najwyższych technologii, jak i istotnych elementów </w:t>
      </w:r>
      <w:proofErr w:type="spellStart"/>
      <w:r w:rsidRPr="00A757EE">
        <w:rPr>
          <w:rFonts w:ascii="Times New Roman" w:hAnsi="Times New Roman" w:cs="Times New Roman"/>
        </w:rPr>
        <w:t>proejektu</w:t>
      </w:r>
      <w:proofErr w:type="spellEnd"/>
      <w:r w:rsidRPr="00A757EE">
        <w:rPr>
          <w:rFonts w:ascii="Times New Roman" w:hAnsi="Times New Roman" w:cs="Times New Roman"/>
        </w:rPr>
        <w:t xml:space="preserve">. </w:t>
      </w:r>
      <w:r w:rsidRPr="00A757EE">
        <w:rPr>
          <w:rFonts w:ascii="Times New Roman" w:hAnsi="Times New Roman" w:cs="Times New Roman"/>
        </w:rPr>
        <w:br/>
        <w:t xml:space="preserve">           Grupy </w:t>
      </w:r>
      <w:proofErr w:type="spellStart"/>
      <w:r w:rsidRPr="00A757EE">
        <w:rPr>
          <w:rFonts w:ascii="Times New Roman" w:hAnsi="Times New Roman" w:cs="Times New Roman"/>
        </w:rPr>
        <w:t>defaworyzowane</w:t>
      </w:r>
      <w:proofErr w:type="spellEnd"/>
      <w:r w:rsidRPr="00A757EE">
        <w:rPr>
          <w:rFonts w:ascii="Times New Roman" w:hAnsi="Times New Roman" w:cs="Times New Roman"/>
        </w:rPr>
        <w:t xml:space="preserve"> w strategii rozwoju lokalnego kierowanego przez społeczność, zwanej dalej LSR , należy rozumieć grupy społeczności lokalnej będące w trudnej sytuacji/położeniu, które uzyskają wsparcie w jej ramach.  Po przeanalizowaniu potencjału społecznego obszaru LGD wyłonione zostały następujące grupy </w:t>
      </w:r>
      <w:proofErr w:type="spellStart"/>
      <w:r w:rsidRPr="00A757EE">
        <w:rPr>
          <w:rFonts w:ascii="Times New Roman" w:hAnsi="Times New Roman" w:cs="Times New Roman"/>
        </w:rPr>
        <w:t>defaworyzowane</w:t>
      </w:r>
      <w:proofErr w:type="spellEnd"/>
      <w:r w:rsidRPr="00A757EE">
        <w:rPr>
          <w:rFonts w:ascii="Times New Roman" w:hAnsi="Times New Roman" w:cs="Times New Roman"/>
        </w:rPr>
        <w:t xml:space="preserve"> : osoby bezrobotne w szczególności osoby do 30 roku życia i powyżej 50 roku życia oraz osoby korzystające z pomocy społecznej.</w:t>
      </w:r>
    </w:p>
    <w:p w:rsidR="00A757EE" w:rsidRPr="00A757EE" w:rsidRDefault="00A757EE" w:rsidP="00A757EE">
      <w:pPr>
        <w:rPr>
          <w:rFonts w:ascii="Times New Roman" w:hAnsi="Times New Roman" w:cs="Times New Roman"/>
          <w:b/>
          <w:color w:val="000000" w:themeColor="text1"/>
        </w:rPr>
      </w:pPr>
      <w:r w:rsidRPr="00A757EE">
        <w:rPr>
          <w:rFonts w:ascii="Times New Roman" w:hAnsi="Times New Roman" w:cs="Times New Roman"/>
          <w:b/>
          <w:color w:val="000000" w:themeColor="text1"/>
        </w:rPr>
        <w:t>Lokalne kryteria oceny operacji dla projektów z zakresu :</w:t>
      </w:r>
      <w:r w:rsidRPr="00A757EE">
        <w:rPr>
          <w:rFonts w:ascii="Times New Roman" w:hAnsi="Times New Roman" w:cs="Times New Roman"/>
          <w:b/>
          <w:color w:val="000000" w:themeColor="text1"/>
        </w:rPr>
        <w:br/>
        <w:t>- Rozwój przedsiębiorczości na obszarze wiejskim objętym strategią rozwoju lokalnego kierowanego przez społeczność przez podejmowanie działalności gospodarczej,</w:t>
      </w:r>
      <w:r w:rsidRPr="00A757EE">
        <w:rPr>
          <w:rFonts w:ascii="Times New Roman" w:hAnsi="Times New Roman" w:cs="Times New Roman"/>
          <w:b/>
          <w:color w:val="000000" w:themeColor="text1"/>
        </w:rPr>
        <w:br/>
        <w:t>-Rozwój przedsiębiorczości na obszarze wiejskim objętym strategią rozwoju lokalnego kierowanego przez społeczność przez rozwijanie działalności gospodarczej.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16"/>
        <w:gridCol w:w="2200"/>
        <w:gridCol w:w="2963"/>
        <w:gridCol w:w="1198"/>
        <w:gridCol w:w="2303"/>
      </w:tblGrid>
      <w:tr w:rsidR="00DD227A" w:rsidRPr="00E32D50" w:rsidTr="00C26A1C">
        <w:tc>
          <w:tcPr>
            <w:tcW w:w="516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Lp.</w:t>
            </w:r>
          </w:p>
        </w:tc>
        <w:tc>
          <w:tcPr>
            <w:tcW w:w="2771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Lokalne kryterium oceny operacji</w:t>
            </w:r>
          </w:p>
        </w:tc>
        <w:tc>
          <w:tcPr>
            <w:tcW w:w="5644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Opis lokalnego kryterium oceny operacji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32D50">
              <w:rPr>
                <w:rFonts w:ascii="Times New Roman" w:hAnsi="Times New Roman" w:cs="Times New Roman"/>
                <w:i/>
                <w:sz w:val="22"/>
              </w:rPr>
              <w:t>Punktacja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32D50">
              <w:rPr>
                <w:rFonts w:ascii="Times New Roman" w:hAnsi="Times New Roman" w:cs="Times New Roman"/>
                <w:i/>
                <w:sz w:val="22"/>
              </w:rPr>
              <w:t>Uwagi</w:t>
            </w:r>
          </w:p>
        </w:tc>
      </w:tr>
      <w:tr w:rsidR="00DD227A" w:rsidRPr="00E32D50" w:rsidTr="00C26A1C">
        <w:trPr>
          <w:trHeight w:val="1649"/>
        </w:trPr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Kryterium: powiązane z premiowaniem przedsięwzięć związanych z innowacyjnością/, wykorzystaniem odnawialnych źródeł energii / ekonomią społeczną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Kryterium to zostało przyjęte jako odpowiedź na słabe strony ukazane w analizie SWOT: znikomy stopień wykorzystania innowacji m.in. odnawialnych źródeł energii i szanse jaką są wzrastające znaczenie innowacji i ekologii, moda na wykorzystywanie odnawialnych źródeł energii i wsparcie różnych form ekonomii społecznej.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eastAsia="Tahoma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eastAsia="Tahoma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0 pkt. – nie dotyczy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10 pkt. – dotyczy(operacja zawiera elementy innowacyjności, odnawialnych źródeł energii, ekonomii społecznej)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Kryterium: zasięg i oddziaływanie operacji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 xml:space="preserve">Kryterium to zostało przyjęte jako odpowiedź na słabe strony ukazane w analizie SWOT jakimi są: brak </w:t>
            </w: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zintegrowanego produktu turystycznego, brak wspólnego systemu oznakowania infrastruktury turystycznej, słabo rozwinięta sfera usług, słabo rozwinięte rolnictwo ekologiczne, niedostateczna oferta zagospodarowania czasu wolnego dzieci i młodzieży jak również znikome wspólne działania promocyjne  i szansami jakimi są współpraca branżowa, sektorowa, rozwój i promocja produktów lokalnych, moda na produkty regionalne i lokalne.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tabs>
                <w:tab w:val="left" w:pos="935"/>
              </w:tabs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3 pkt. – miejscowość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6 pkt. – gmina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 pkt. – obszar LGD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 xml:space="preserve">Kryterium związane z promocją operacji skierowanych do mieszkańców z tzw. grup </w:t>
            </w:r>
            <w:proofErr w:type="spellStart"/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defaworyzowanych</w:t>
            </w:r>
            <w:proofErr w:type="spellEnd"/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Kryterium to wpływa na wzrostu aktywności i zaangażowaniu ich w życie społeczne odpowiada na słabe strony ukazane w analizie SWOT jakimi są: rosnące bezrobocie, niska aktywność społeczna i zawodowa mieszkańców regionu, apatia, poczucie bezradności, jak i zagrożenia jakim jest odpływ młodych wykształconych ludzi.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0 pkt. – nie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10 pkt. - tak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Kryterium związane  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 xml:space="preserve">z promocją współdziałania podmiotów 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Kryterium to odpowiada na przedstawioną w słabych stronach niską aktywność społeczną  mieszkańców regionu oraz współpracę.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0 pkt. – brak innych podmiotów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5 pkt. – przedsięwzięcie promujące współdziałanie z jednym podmiotem działającym na obszarze LGD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 xml:space="preserve">10 pkt. – przedsięwzięcie promujące współdziałanie 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z dwoma lub więcej  podmiotami działającymi na obszarze LGD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Kryterium</w:t>
            </w:r>
            <w:r w:rsidRPr="00E32D50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  <w:r w:rsidRPr="00E32D50">
              <w:rPr>
                <w:rFonts w:ascii="Times New Roman" w:hAnsi="Times New Roman" w:cs="Times New Roman"/>
                <w:sz w:val="22"/>
              </w:rPr>
              <w:t xml:space="preserve">wykorzystanie potencjału </w:t>
            </w: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turystycznego i dziedzictwa kulturowego oraz ochrona wartości przyrodniczo – krajobrazowych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 xml:space="preserve">Kryterium to zostało przyjęte jako odpowiedź na  słabe strony ukazane w analizie </w:t>
            </w: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SWOT: brak zintegrowanego produktu turystycznego, znikoma ilość certyfikowanych produktów i usług, słabo rozwinięte rolnictwo ekologiczne, zaniedbane, nie oznakowane zabytki, pomniki przyrody, niski komfort istniejącej bazy noclegowej i szans jakimi są: rozwój i promocja produktów lokalnych, rozwój dziedzictwa kulturowego w kraju, wykorzystanie ekologicznych i kulturowych walorów regionu w procesie edukacji młodzieży, moda na produkty regionalne i lokalne.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 xml:space="preserve">0 pkt. – operacja nie wykorzystuje potencjału turystycznego </w:t>
            </w: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i dziedzictwa kulturowego LGD oraz nie propaguje ochrony wartości przyrodniczo – krajobrazowych</w:t>
            </w: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5 pkt.– jeżeli  przedsięwzięcie zawiera elementy promocji lokalnych zasobów</w:t>
            </w: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10 pkt. – jeżeli operacja jest oparta na wykorzystaniu lokalnych zasobów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Operacja wpływa na realizację celów szczegółowych LSR.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Oceniany jest wpływ operacji na realizację jak największej ilości celów. Ocenie będą podlegać cele LSR planowane do realizacji w ramach operacji pod kątem tego czy będą tworzyć między sobą logiczne związki i wzajemnie na siebie oddziaływać.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t xml:space="preserve">0 pkt. – operacja wpływa na realizację </w:t>
            </w: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br/>
              <w:t>1 celu</w:t>
            </w: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t>5 pkt. – operacja wpływa na realizację 2 celów</w:t>
            </w: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t>10 pkt. – operacja wpływa na realizację 3 lub więcej celów</w:t>
            </w:r>
          </w:p>
        </w:tc>
      </w:tr>
    </w:tbl>
    <w:p w:rsidR="00A757EE" w:rsidRPr="00A757EE" w:rsidRDefault="00A757EE" w:rsidP="00A757EE">
      <w:pPr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757EE">
        <w:rPr>
          <w:rFonts w:ascii="Times New Roman" w:hAnsi="Times New Roman" w:cs="Times New Roman"/>
          <w:color w:val="000000" w:themeColor="text1"/>
        </w:rPr>
        <w:t>Rada w procesie oceny stosuje Kartę oceny wstępnej oraz Kartę Oceny Operacji Według Lokalnych Kryteriów</w:t>
      </w:r>
      <w:r w:rsidRPr="00A757E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757EE">
        <w:rPr>
          <w:rFonts w:ascii="Times New Roman" w:hAnsi="Times New Roman" w:cs="Times New Roman"/>
          <w:color w:val="000000" w:themeColor="text1"/>
        </w:rPr>
        <w:t>Wyboru;</w:t>
      </w:r>
    </w:p>
    <w:p w:rsidR="00A757EE" w:rsidRPr="00A757EE" w:rsidRDefault="00A757EE" w:rsidP="00A757E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757EE">
        <w:rPr>
          <w:rFonts w:ascii="Times New Roman" w:hAnsi="Times New Roman" w:cs="Times New Roman"/>
          <w:color w:val="000000" w:themeColor="text1"/>
        </w:rPr>
        <w:t>Karty oceny i instrukcja ich wypełnienia stanowią załącznik do Regulaminu Rady.</w:t>
      </w:r>
      <w:r w:rsidRPr="00A757E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757EE" w:rsidRPr="00A757EE" w:rsidRDefault="00A757EE" w:rsidP="00A757EE">
      <w:pPr>
        <w:jc w:val="both"/>
        <w:rPr>
          <w:rFonts w:ascii="Times New Roman" w:hAnsi="Times New Roman" w:cs="Times New Roman"/>
          <w:color w:val="000000" w:themeColor="text1"/>
        </w:rPr>
      </w:pPr>
      <w:r w:rsidRPr="00A757EE">
        <w:rPr>
          <w:rFonts w:ascii="Times New Roman" w:hAnsi="Times New Roman" w:cs="Times New Roman"/>
          <w:color w:val="000000" w:themeColor="text1"/>
        </w:rPr>
        <w:t>Procedurę zmiany Kryteriów wyboru operacji stanowi załącznik nr 6 do LSR.</w:t>
      </w:r>
      <w:r w:rsidRPr="00A757EE">
        <w:rPr>
          <w:rFonts w:ascii="Times New Roman" w:hAnsi="Times New Roman" w:cs="Times New Roman"/>
          <w:color w:val="000000" w:themeColor="text1"/>
        </w:rPr>
        <w:tab/>
      </w:r>
    </w:p>
    <w:p w:rsidR="00A757EE" w:rsidRPr="00A757EE" w:rsidRDefault="00A757EE">
      <w:pPr>
        <w:rPr>
          <w:rFonts w:ascii="Times New Roman" w:hAnsi="Times New Roman" w:cs="Times New Roman"/>
        </w:rPr>
      </w:pPr>
    </w:p>
    <w:sectPr w:rsidR="00A757EE" w:rsidRPr="00A757EE" w:rsidSect="009C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7EE"/>
    <w:rsid w:val="00070EA6"/>
    <w:rsid w:val="00301DF8"/>
    <w:rsid w:val="009C21B8"/>
    <w:rsid w:val="00A43F1C"/>
    <w:rsid w:val="00A757EE"/>
    <w:rsid w:val="00DD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7EE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2021-12-06T15:36:00Z</dcterms:created>
  <dcterms:modified xsi:type="dcterms:W3CDTF">2021-12-10T12:56:00Z</dcterms:modified>
</cp:coreProperties>
</file>